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CC3B3" w14:textId="7918938C" w:rsidR="009349A7" w:rsidRDefault="00A7087B" w:rsidP="009349A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Dear </w:t>
      </w:r>
      <w:r w:rsidR="00966985">
        <w:rPr>
          <w:rFonts w:ascii="Calibri" w:hAnsi="Calibri" w:cs="Arial"/>
          <w:sz w:val="24"/>
          <w:szCs w:val="24"/>
        </w:rPr>
        <w:t>Advisor</w:t>
      </w:r>
    </w:p>
    <w:p w14:paraId="67BC7661" w14:textId="77777777" w:rsidR="00A7087B" w:rsidRDefault="00A7087B" w:rsidP="009349A7">
      <w:pPr>
        <w:rPr>
          <w:rFonts w:ascii="Calibri" w:hAnsi="Calibri" w:cs="Arial"/>
          <w:sz w:val="24"/>
          <w:szCs w:val="24"/>
        </w:rPr>
      </w:pPr>
    </w:p>
    <w:p w14:paraId="44164499" w14:textId="4FDAB17A" w:rsidR="00A7087B" w:rsidRDefault="00A7087B" w:rsidP="009349A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Thank you for being willing to fill in this skills matrix</w:t>
      </w:r>
      <w:r w:rsidR="00DB4E5D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 You will see that it is similar to the </w:t>
      </w:r>
      <w:r w:rsidR="0008754E">
        <w:rPr>
          <w:rFonts w:ascii="Calibri" w:hAnsi="Calibri" w:cs="Arial"/>
          <w:sz w:val="24"/>
          <w:szCs w:val="24"/>
        </w:rPr>
        <w:t>NGA skills audit</w:t>
      </w:r>
      <w:r>
        <w:rPr>
          <w:rFonts w:ascii="Calibri" w:hAnsi="Calibri" w:cs="Arial"/>
          <w:sz w:val="24"/>
          <w:szCs w:val="24"/>
        </w:rPr>
        <w:t xml:space="preserve"> that you may have completed </w:t>
      </w:r>
      <w:r w:rsidR="007624C9">
        <w:rPr>
          <w:rFonts w:ascii="Calibri" w:hAnsi="Calibri" w:cs="Arial"/>
          <w:sz w:val="24"/>
          <w:szCs w:val="24"/>
        </w:rPr>
        <w:t>in the past</w:t>
      </w:r>
      <w:r w:rsidR="00966985">
        <w:rPr>
          <w:rFonts w:ascii="Calibri" w:hAnsi="Calibri" w:cs="Arial"/>
          <w:sz w:val="24"/>
          <w:szCs w:val="24"/>
        </w:rPr>
        <w:t xml:space="preserve"> and the NMR skills audit completed by some previously</w:t>
      </w:r>
      <w:r w:rsidR="00DB4E5D">
        <w:rPr>
          <w:rFonts w:ascii="Calibri" w:hAnsi="Calibri" w:cs="Arial"/>
          <w:sz w:val="24"/>
          <w:szCs w:val="24"/>
        </w:rPr>
        <w:t xml:space="preserve">. </w:t>
      </w:r>
      <w:r w:rsidR="00966985">
        <w:rPr>
          <w:rFonts w:ascii="Calibri" w:hAnsi="Calibri" w:cs="Arial"/>
          <w:sz w:val="24"/>
          <w:szCs w:val="24"/>
        </w:rPr>
        <w:t>It is the version which has been used by the Circle Trust Trustees</w:t>
      </w:r>
      <w:r w:rsidR="003031F0">
        <w:rPr>
          <w:rFonts w:ascii="Calibri" w:hAnsi="Calibri" w:cs="Arial"/>
          <w:sz w:val="24"/>
          <w:szCs w:val="24"/>
        </w:rPr>
        <w:t>.</w:t>
      </w:r>
    </w:p>
    <w:p w14:paraId="255287DC" w14:textId="77777777" w:rsidR="00A7087B" w:rsidRDefault="00A7087B" w:rsidP="009349A7">
      <w:pPr>
        <w:rPr>
          <w:rFonts w:ascii="Calibri" w:hAnsi="Calibri" w:cs="Arial"/>
          <w:sz w:val="24"/>
          <w:szCs w:val="24"/>
        </w:rPr>
      </w:pPr>
    </w:p>
    <w:p w14:paraId="6A32DA70" w14:textId="07329195" w:rsidR="00A7087B" w:rsidRDefault="5C4DE219" w:rsidP="5C4DE219">
      <w:pPr>
        <w:rPr>
          <w:rFonts w:ascii="Calibri" w:hAnsi="Calibri" w:cs="Arial"/>
          <w:sz w:val="24"/>
          <w:szCs w:val="24"/>
        </w:rPr>
      </w:pPr>
      <w:r w:rsidRPr="5C4DE219">
        <w:rPr>
          <w:rFonts w:ascii="Calibri" w:hAnsi="Calibri" w:cs="Arial"/>
          <w:sz w:val="24"/>
          <w:szCs w:val="24"/>
        </w:rPr>
        <w:t xml:space="preserve">Once completed can you please forward to the Clerk of Nine Mile Ride via email to </w:t>
      </w:r>
      <w:hyperlink r:id="rId10">
        <w:r w:rsidRPr="5C4DE219">
          <w:rPr>
            <w:rStyle w:val="Hyperlink"/>
            <w:rFonts w:ascii="Calibri" w:hAnsi="Calibri" w:cs="Arial"/>
            <w:sz w:val="24"/>
            <w:szCs w:val="24"/>
          </w:rPr>
          <w:t>bwojna@nmrhub.net</w:t>
        </w:r>
      </w:hyperlink>
      <w:r w:rsidRPr="5C4DE219">
        <w:rPr>
          <w:rFonts w:ascii="Calibri" w:hAnsi="Calibri" w:cs="Arial"/>
          <w:sz w:val="24"/>
          <w:szCs w:val="24"/>
        </w:rPr>
        <w:t xml:space="preserve"> </w:t>
      </w:r>
      <w:r w:rsidRPr="5C4DE219">
        <w:rPr>
          <w:rFonts w:asciiTheme="minorHAnsi" w:hAnsiTheme="minorHAnsi" w:cstheme="minorBidi"/>
          <w:sz w:val="24"/>
          <w:szCs w:val="24"/>
        </w:rPr>
        <w:t xml:space="preserve">, For ease please rename file with your initials skills audit 2019 </w:t>
      </w:r>
      <w:proofErr w:type="spellStart"/>
      <w:r w:rsidRPr="5C4DE219">
        <w:rPr>
          <w:rFonts w:asciiTheme="minorHAnsi" w:hAnsiTheme="minorHAnsi" w:cstheme="minorBidi"/>
          <w:sz w:val="24"/>
          <w:szCs w:val="24"/>
        </w:rPr>
        <w:t>eg</w:t>
      </w:r>
      <w:proofErr w:type="spellEnd"/>
      <w:r w:rsidRPr="5C4DE219">
        <w:rPr>
          <w:rFonts w:asciiTheme="minorHAnsi" w:hAnsiTheme="minorHAnsi" w:cstheme="minorBidi"/>
          <w:sz w:val="24"/>
          <w:szCs w:val="24"/>
        </w:rPr>
        <w:t xml:space="preserve"> BW Skills Audit 2019</w:t>
      </w:r>
    </w:p>
    <w:p w14:paraId="3BF2DA85" w14:textId="77777777" w:rsidR="00A7087B" w:rsidRDefault="00A7087B" w:rsidP="009349A7">
      <w:pPr>
        <w:rPr>
          <w:rFonts w:ascii="Calibri" w:hAnsi="Calibri" w:cs="Arial"/>
          <w:sz w:val="24"/>
          <w:szCs w:val="24"/>
        </w:rPr>
      </w:pPr>
    </w:p>
    <w:p w14:paraId="6EB6065E" w14:textId="7C8580D1" w:rsidR="00A7087B" w:rsidRDefault="00A7087B" w:rsidP="009349A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Thank you for your </w:t>
      </w:r>
      <w:r w:rsidR="003031F0">
        <w:rPr>
          <w:rFonts w:ascii="Calibri" w:hAnsi="Calibri" w:cs="Arial"/>
          <w:sz w:val="24"/>
          <w:szCs w:val="24"/>
        </w:rPr>
        <w:t>co operation</w:t>
      </w:r>
    </w:p>
    <w:p w14:paraId="581F2D1F" w14:textId="77777777" w:rsidR="00A7087B" w:rsidRDefault="00A7087B" w:rsidP="009349A7">
      <w:pPr>
        <w:rPr>
          <w:rFonts w:ascii="Calibri" w:hAnsi="Calibri" w:cs="Arial"/>
          <w:sz w:val="24"/>
          <w:szCs w:val="24"/>
        </w:rPr>
      </w:pPr>
    </w:p>
    <w:p w14:paraId="0EAF24C0" w14:textId="1F5E48DD" w:rsidR="5C4DE219" w:rsidRDefault="5C4DE219" w:rsidP="5C4DE219">
      <w:r w:rsidRPr="5C4DE219">
        <w:rPr>
          <w:rFonts w:ascii="Calibri" w:hAnsi="Calibri" w:cs="Arial"/>
          <w:sz w:val="24"/>
          <w:szCs w:val="24"/>
        </w:rPr>
        <w:t>Barbara Wojna</w:t>
      </w:r>
    </w:p>
    <w:p w14:paraId="53BC4F4D" w14:textId="77777777" w:rsidR="00A7087B" w:rsidRDefault="00A7087B" w:rsidP="009349A7">
      <w:pPr>
        <w:rPr>
          <w:rFonts w:ascii="Calibri" w:hAnsi="Calibri" w:cs="Arial"/>
          <w:sz w:val="24"/>
          <w:szCs w:val="24"/>
        </w:rPr>
      </w:pPr>
    </w:p>
    <w:p w14:paraId="7A3B2C63" w14:textId="77777777" w:rsidR="00A7087B" w:rsidRPr="00194AB4" w:rsidRDefault="00A7087B" w:rsidP="009349A7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5476"/>
        <w:gridCol w:w="832"/>
        <w:gridCol w:w="1418"/>
      </w:tblGrid>
      <w:tr w:rsidR="009349A7" w:rsidRPr="00194AB4" w14:paraId="3CCB1DC8" w14:textId="77777777" w:rsidTr="44D8B20D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D5FD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Name</w:t>
            </w:r>
          </w:p>
          <w:p w14:paraId="127826DA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27CD" w14:textId="06110A17" w:rsidR="009349A7" w:rsidRPr="00194AB4" w:rsidRDefault="009349A7" w:rsidP="44D8B20D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BC90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B907" w14:textId="615687A0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1B850384" w14:textId="77777777" w:rsidTr="44D8B20D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4C22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 xml:space="preserve">School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A353" w14:textId="43348F0A" w:rsidR="009349A7" w:rsidRDefault="00966985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Nine Mile Ride</w:t>
            </w:r>
          </w:p>
          <w:p w14:paraId="46D95B01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</w:tbl>
    <w:p w14:paraId="58E4A3BC" w14:textId="52235F2E" w:rsidR="00A7087B" w:rsidRDefault="6E262940" w:rsidP="6E262940">
      <w:pPr>
        <w:rPr>
          <w:rFonts w:ascii="Calibri" w:hAnsi="Calibri" w:cs="Arial"/>
          <w:sz w:val="24"/>
          <w:szCs w:val="24"/>
        </w:rPr>
      </w:pPr>
      <w:r w:rsidRPr="6E262940">
        <w:rPr>
          <w:rFonts w:ascii="Calibri" w:hAnsi="Calibri" w:cs="Arial"/>
          <w:sz w:val="24"/>
          <w:szCs w:val="24"/>
        </w:rPr>
        <w:t xml:space="preserve"> </w:t>
      </w:r>
    </w:p>
    <w:p w14:paraId="566A59C2" w14:textId="77777777" w:rsidR="009349A7" w:rsidRDefault="009349A7" w:rsidP="009349A7">
      <w:pPr>
        <w:rPr>
          <w:rFonts w:ascii="Calibri" w:hAnsi="Calibri" w:cs="Arial"/>
          <w:sz w:val="24"/>
          <w:szCs w:val="24"/>
        </w:rPr>
      </w:pPr>
      <w:r w:rsidRPr="00194AB4">
        <w:rPr>
          <w:rFonts w:ascii="Calibri" w:hAnsi="Calibri" w:cs="Arial"/>
          <w:sz w:val="24"/>
          <w:szCs w:val="24"/>
        </w:rPr>
        <w:t xml:space="preserve">Give your assessment of your knowledge, competence and experience against each statement, by entering a score of 1 to 5, where: 1 is no knowledge or experience; 2 is limited knowledge or experience but further training/support required; 3 is adequately competent but further support/training desirable; 4 is very competent </w:t>
      </w:r>
      <w:r w:rsidR="002C33F5">
        <w:rPr>
          <w:rFonts w:ascii="Calibri" w:hAnsi="Calibri" w:cs="Arial"/>
          <w:sz w:val="24"/>
          <w:szCs w:val="24"/>
        </w:rPr>
        <w:t xml:space="preserve">with </w:t>
      </w:r>
      <w:r w:rsidRPr="00194AB4">
        <w:rPr>
          <w:rFonts w:ascii="Calibri" w:hAnsi="Calibri" w:cs="Arial"/>
          <w:sz w:val="24"/>
          <w:szCs w:val="24"/>
        </w:rPr>
        <w:t xml:space="preserve">further training/support not required and 5 is expert, able to advise others. </w:t>
      </w:r>
      <w:r w:rsidR="002C33F5">
        <w:rPr>
          <w:rFonts w:ascii="Calibri" w:hAnsi="Calibri" w:cs="Arial"/>
          <w:sz w:val="24"/>
          <w:szCs w:val="24"/>
        </w:rPr>
        <w:t>Rather than asking you to give evidence and examples for each skill, we have provided a box at the end of the skills section for you to supply relevant evidence and examples to justify your higher scores. Experience could come from employment, voluntary work, governorship – please give as much detail as you can as this helps to give more background to the numerical ratings.</w:t>
      </w:r>
    </w:p>
    <w:p w14:paraId="490247FC" w14:textId="77777777" w:rsidR="009349A7" w:rsidRPr="00194AB4" w:rsidRDefault="009349A7" w:rsidP="009349A7">
      <w:pPr>
        <w:rPr>
          <w:rFonts w:ascii="Calibri" w:hAnsi="Calibri" w:cs="Arial"/>
          <w:sz w:val="24"/>
          <w:szCs w:val="24"/>
        </w:rPr>
      </w:pPr>
    </w:p>
    <w:p w14:paraId="77906696" w14:textId="77777777" w:rsidR="009349A7" w:rsidRPr="00194AB4" w:rsidRDefault="009349A7" w:rsidP="009349A7">
      <w:pPr>
        <w:jc w:val="right"/>
        <w:rPr>
          <w:rFonts w:ascii="Calibri" w:hAnsi="Calibri" w:cs="Arial"/>
          <w:sz w:val="24"/>
          <w:szCs w:val="24"/>
        </w:rPr>
      </w:pPr>
      <w:r w:rsidRPr="00194AB4">
        <w:rPr>
          <w:rFonts w:ascii="Calibri" w:hAnsi="Calibri" w:cs="Arial"/>
          <w:sz w:val="24"/>
          <w:szCs w:val="24"/>
        </w:rPr>
        <w:t>Score 1-5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616"/>
        <w:gridCol w:w="697"/>
      </w:tblGrid>
      <w:tr w:rsidR="009349A7" w:rsidRPr="00194AB4" w14:paraId="5C481132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72BD" w14:textId="77777777" w:rsidR="009349A7" w:rsidRPr="00194AB4" w:rsidRDefault="00542B59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instrText xml:space="preserve"> SEQ SKILLNUM \* MERGEFORMAT </w:instrTex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separate"/>
            </w:r>
            <w:r w:rsidR="00CB26A9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AC61" w14:textId="77777777" w:rsidR="009349A7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 xml:space="preserve">Understanding of 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 xml:space="preserve">education </w:t>
            </w:r>
          </w:p>
          <w:p w14:paraId="5C03D87B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DF52" w14:textId="1491B2C7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53B6039B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A525" w14:textId="77777777" w:rsidR="009349A7" w:rsidRPr="00194AB4" w:rsidRDefault="00542B59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instrText xml:space="preserve"> SEQ SKILLNUM \* MERGEFORMAT </w:instrTex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separate"/>
            </w:r>
            <w:r w:rsidR="00CB26A9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718E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Assimilating information – the ability to understand written and verbal information received, and identify key points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2AC1" w14:textId="348449D8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0D332D81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34D1" w14:textId="77777777" w:rsidR="009349A7" w:rsidRPr="00194AB4" w:rsidRDefault="00542B59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instrText xml:space="preserve"> SEQ SKILLNUM \* MERGEFORMAT </w:instrTex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separate"/>
            </w:r>
            <w:r w:rsidR="00CB26A9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F1CC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Analysis and drawing conclusions – the ability to assess and choose between options, and to draw appropriate conclusions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D79A" w14:textId="5211BD3B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784FE4E1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5965" w14:textId="77777777" w:rsidR="009349A7" w:rsidRPr="00194AB4" w:rsidRDefault="00542B59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instrText xml:space="preserve"> SEQ SKILLNUM \* MERGEFORMAT </w:instrTex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separate"/>
            </w:r>
            <w:r w:rsidR="00CB26A9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t>4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65FC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Communication – the ability to express yourself clearly and unambiguously, and to listen to and understand others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5CC5" w14:textId="0D957181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7F7B13FE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7A7C" w14:textId="77777777" w:rsidR="009349A7" w:rsidRPr="00194AB4" w:rsidRDefault="00542B59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instrText xml:space="preserve"> SEQ SKILLNUM \* MERGEFORMAT </w:instrTex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separate"/>
            </w:r>
            <w:r w:rsidR="00CB26A9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AC81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Confidence – to state your view, ask the naïve question and have courageous conversations about challenging issues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B950" w14:textId="39301903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1216FF55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E0B3" w14:textId="77777777" w:rsidR="009349A7" w:rsidRPr="00194AB4" w:rsidRDefault="00542B59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instrText xml:space="preserve"> SEQ SKILLNUM \* MERGEFORMAT </w:instrTex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separate"/>
            </w:r>
            <w:r w:rsidR="00CB26A9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t>6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0EC5" w14:textId="59F431CE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Questioning - the ability to ask searching questions in a non-confrontational way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8D3C" w14:textId="053C55F2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5F982288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0CC4" w14:textId="77777777" w:rsidR="009349A7" w:rsidRPr="00194AB4" w:rsidRDefault="00542B59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lastRenderedPageBreak/>
              <w:fldChar w:fldCharType="begin"/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instrText xml:space="preserve"> SEQ SKILLNUM \* MERGEFORMAT </w:instrTex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separate"/>
            </w:r>
            <w:r w:rsidR="00CB26A9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671D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 xml:space="preserve">Assertiveness – the ability to make a point, or stand your ground, without being abrasive or damaging relationships with others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87F3" w14:textId="76B9CDD2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4E6D67A3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B084" w14:textId="77777777" w:rsidR="009349A7" w:rsidRPr="00194AB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instrText xml:space="preserve"> SEQ SKILLNUM \* MERGEFORMAT </w:instrTex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separate"/>
            </w:r>
            <w:r w:rsidR="00CB26A9">
              <w:rPr>
                <w:rFonts w:ascii="Calibri" w:eastAsia="Calibri" w:hAnsi="Calibri" w:cs="Arial"/>
                <w:noProof/>
                <w:sz w:val="24"/>
                <w:szCs w:val="24"/>
                <w:lang w:val="en-US"/>
              </w:rPr>
              <w:t>8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B47C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Influencing – the ability to get other people to consider your perspective, while taking their views and opinions into account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CE8B" w14:textId="5119F83C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1319BC96" w14:textId="77777777" w:rsidTr="317129D2">
        <w:trPr>
          <w:trHeight w:val="6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BA72" w14:textId="77777777" w:rsidR="009349A7" w:rsidRPr="00194AB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8646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Negotiation and agreement – the ability to navigate differences of opinion and identify common ground and points of agreement or consensus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039F" w14:textId="6C54F4E1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7088F874" w14:textId="77777777" w:rsidTr="317129D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8774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597C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The ability to manage conflicts of interest and maintain confidentiality</w:t>
            </w:r>
          </w:p>
          <w:p w14:paraId="394EDCEA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C205" w14:textId="124348D6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</w:tbl>
    <w:p w14:paraId="51B074A6" w14:textId="77777777" w:rsidR="009349A7" w:rsidRPr="00194AB4" w:rsidRDefault="009349A7" w:rsidP="009349A7">
      <w:pPr>
        <w:rPr>
          <w:rFonts w:ascii="Calibri" w:hAnsi="Calibri" w:cs="Arial"/>
          <w:sz w:val="24"/>
          <w:szCs w:val="24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17"/>
        <w:gridCol w:w="697"/>
      </w:tblGrid>
      <w:tr w:rsidR="009349A7" w:rsidRPr="00194AB4" w14:paraId="7C37A6BB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DD8B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0427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 xml:space="preserve">Experience of governance (in education or other sectors, charity, business </w:t>
            </w:r>
            <w:proofErr w:type="spellStart"/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etc</w:t>
            </w:r>
            <w:proofErr w:type="spellEnd"/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)</w:t>
            </w:r>
          </w:p>
          <w:p w14:paraId="385AF9F3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B872" w14:textId="27910A99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5EFEE37D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5269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775D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maintaining a strategic focus, setting the vision and strategic objectives.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EFF3" w14:textId="0250448F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1DA8513E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24AC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DAC3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self-evaluation and/or impact assessment</w:t>
            </w:r>
          </w:p>
          <w:p w14:paraId="108E437C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9AF4" w14:textId="5C62E588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20D2B2EA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7FC1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ECD9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data analysis</w:t>
            </w:r>
          </w:p>
          <w:p w14:paraId="01612397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C5" w14:textId="590C8C77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135A63BF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7496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742C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performance management, setting targets, monitoring and evaluation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9DB2" w14:textId="51759DF3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253B9143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6511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F183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risk assessment</w:t>
            </w:r>
          </w:p>
          <w:p w14:paraId="460416DA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8CB4" w14:textId="2839629F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0DE461F2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6FD5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3CEF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financial monitoring, understanding of accounts</w:t>
            </w:r>
          </w:p>
          <w:p w14:paraId="3BA16EB9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7724" w14:textId="3C894474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0C4FC595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276E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6860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 xml:space="preserve">Experience / skills in chairing, team leadership </w:t>
            </w:r>
          </w:p>
          <w:p w14:paraId="7C2FF44D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2E79" w14:textId="7913F60C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534E8388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8EA3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1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F52F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understanding of the perspectives of stakeholders, e.g. students, parents, partners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CA30" w14:textId="0DD31762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611FC2E4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C80F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</w:t>
            </w: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9E25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 xml:space="preserve">Experience / understanding of safeguarding, child safety </w:t>
            </w:r>
          </w:p>
          <w:p w14:paraId="7522E235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F354" w14:textId="7634C92A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841546" w:rsidRPr="00194AB4" w14:paraId="4BA02BF7" w14:textId="77777777" w:rsidTr="317129D2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9BD1" w14:textId="77777777" w:rsidR="00841546" w:rsidRDefault="00841546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657C" w14:textId="77777777" w:rsidR="00841546" w:rsidRPr="00194AB4" w:rsidRDefault="00841546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premises and facilities management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279A" w14:textId="621643CC" w:rsidR="00841546" w:rsidRPr="00194AB4" w:rsidRDefault="00841546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841546" w:rsidRPr="00194AB4" w14:paraId="3E78C842" w14:textId="77777777" w:rsidTr="317129D2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8795" w14:textId="77777777" w:rsidR="00841546" w:rsidRDefault="005F2474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4BB4" w14:textId="77777777" w:rsidR="00841546" w:rsidRPr="00194AB4" w:rsidRDefault="00841546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human resources / personnel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F370" w14:textId="0B33C68C" w:rsidR="00841546" w:rsidRPr="00194AB4" w:rsidRDefault="00841546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841546" w:rsidRPr="00194AB4" w14:paraId="646ABF14" w14:textId="77777777" w:rsidTr="317129D2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6B23" w14:textId="77777777" w:rsidR="00841546" w:rsidRDefault="005F2474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EB6A" w14:textId="77777777" w:rsidR="00841546" w:rsidRDefault="00841546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legal matters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2936" w14:textId="5C54AFBD" w:rsidR="00841546" w:rsidRPr="00194AB4" w:rsidRDefault="00841546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841546" w:rsidRPr="00194AB4" w14:paraId="04F2DC0A" w14:textId="77777777" w:rsidTr="317129D2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4086" w14:textId="77777777" w:rsidR="00841546" w:rsidRDefault="005F2474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41D9" w14:textId="77777777" w:rsidR="00841546" w:rsidRDefault="00841546" w:rsidP="00841546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public relations &amp; marketing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14B2" w14:textId="37E6DF6B" w:rsidR="00841546" w:rsidRPr="00194AB4" w:rsidRDefault="00841546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841546" w:rsidRPr="00194AB4" w14:paraId="14F6B591" w14:textId="77777777" w:rsidTr="317129D2">
        <w:trPr>
          <w:trHeight w:val="6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2A58" w14:textId="77777777" w:rsidR="00841546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7371" w14:textId="77777777" w:rsidR="00841546" w:rsidRDefault="00841546" w:rsidP="00841546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health and safety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B176" w14:textId="2F15EC15" w:rsidR="00841546" w:rsidRPr="00194AB4" w:rsidRDefault="00841546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841546" w:rsidRPr="00194AB4" w14:paraId="7B6BB12A" w14:textId="77777777" w:rsidTr="317129D2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29E8" w14:textId="77777777" w:rsidR="00841546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85E5" w14:textId="77777777" w:rsidR="00841546" w:rsidRDefault="00841546" w:rsidP="00841546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project management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6926" w14:textId="770E9DCB" w:rsidR="00841546" w:rsidRPr="00194AB4" w:rsidRDefault="00841546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5F2474" w:rsidRPr="00194AB4" w14:paraId="332115C0" w14:textId="77777777" w:rsidTr="317129D2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9AB5" w14:textId="77777777" w:rsidR="005F247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F4BC" w14:textId="77777777" w:rsidR="005F2474" w:rsidRDefault="005F2474" w:rsidP="00841546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/ skills in ICT and management information systems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A830" w14:textId="06C86F7C" w:rsidR="005F2474" w:rsidRPr="00194AB4" w:rsidRDefault="005F2474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5E5451" w:rsidRPr="00194AB4" w14:paraId="3C325FD7" w14:textId="77777777" w:rsidTr="317129D2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833" w14:textId="77777777" w:rsidR="005E5451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C103" w14:textId="77777777" w:rsidR="005E5451" w:rsidRDefault="005E5451" w:rsidP="00841546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Experience of handling comp</w:t>
            </w:r>
            <w:r w:rsidR="006C1484">
              <w:rPr>
                <w:rFonts w:ascii="Calibri" w:eastAsia="Calibri" w:hAnsi="Calibri" w:cs="Arial"/>
                <w:sz w:val="24"/>
                <w:szCs w:val="24"/>
                <w:lang w:val="en-US"/>
              </w:rPr>
              <w:t>l</w:t>
            </w: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aints, grievances or appeals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6AAD" w14:textId="5269898A" w:rsidR="005E5451" w:rsidRPr="00194AB4" w:rsidRDefault="005E5451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</w:tbl>
    <w:p w14:paraId="739391A5" w14:textId="77777777" w:rsidR="009349A7" w:rsidRDefault="009349A7" w:rsidP="009349A7">
      <w:pPr>
        <w:rPr>
          <w:rFonts w:ascii="Calibri" w:hAnsi="Calibri" w:cs="Arial"/>
          <w:sz w:val="24"/>
          <w:szCs w:val="24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17"/>
        <w:gridCol w:w="697"/>
      </w:tblGrid>
      <w:tr w:rsidR="009349A7" w:rsidRPr="00194AB4" w14:paraId="7028FB66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5F46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2</w:t>
            </w:r>
            <w:r w:rsidR="005E5451">
              <w:rPr>
                <w:rFonts w:ascii="Calibri" w:eastAsia="Calibri" w:hAnsi="Calibri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F5D7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Knowledge of secondary education, locally or nationally</w:t>
            </w:r>
          </w:p>
          <w:p w14:paraId="6ECA2B38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F5C2" w14:textId="3FC26870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9349A7" w:rsidRPr="00194AB4" w14:paraId="3F8D51B3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75C8" w14:textId="77777777" w:rsidR="009349A7" w:rsidRPr="00194AB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7211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Knowledge of nursery and/or primary education, locally or nationally</w:t>
            </w:r>
          </w:p>
          <w:p w14:paraId="5234CC1E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81D9" w14:textId="202D625D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4B4759CF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2123" w14:textId="77777777" w:rsidR="009349A7" w:rsidRPr="00194AB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FEC8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Knowledge of further and higher education, locally or nationally</w:t>
            </w:r>
          </w:p>
          <w:p w14:paraId="72F5E192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909A" w14:textId="08233CD1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2CB38319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2954" w14:textId="77777777" w:rsidR="009349A7" w:rsidRPr="00194AB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27CD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Knowledge of special educational needs, including health and disability</w:t>
            </w:r>
          </w:p>
          <w:p w14:paraId="20FEA45D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42CC" w14:textId="4AE0C5CA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5C6A495B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1AA3" w14:textId="77777777" w:rsidR="009349A7" w:rsidRPr="00194AB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E723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Knowledge of other children’s and young people’s services (please specify)</w:t>
            </w:r>
          </w:p>
          <w:p w14:paraId="4B92F05F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515D" w14:textId="2C10A223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4EB1C7A1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0976" w14:textId="77777777" w:rsidR="009349A7" w:rsidRPr="00194AB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F92A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 xml:space="preserve">Knowledge of the local and/or regional economy, employers, careers </w:t>
            </w:r>
          </w:p>
          <w:p w14:paraId="5D539F7D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7971" w14:textId="1528E4B2" w:rsidR="009349A7" w:rsidRPr="00194AB4" w:rsidRDefault="009349A7" w:rsidP="317129D2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  <w:tr w:rsidR="009349A7" w:rsidRPr="00194AB4" w14:paraId="352FA6B2" w14:textId="77777777" w:rsidTr="31712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54C4" w14:textId="77777777" w:rsidR="009349A7" w:rsidRPr="00194AB4" w:rsidRDefault="005E5451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en-US"/>
              </w:rPr>
              <w:t>35</w:t>
            </w:r>
          </w:p>
          <w:p w14:paraId="79749E8B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354F" w14:textId="77777777" w:rsidR="009349A7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94AB4">
              <w:rPr>
                <w:rFonts w:ascii="Calibri" w:eastAsia="Calibri" w:hAnsi="Calibri" w:cs="Arial"/>
                <w:sz w:val="24"/>
                <w:szCs w:val="24"/>
                <w:lang w:val="en-US"/>
              </w:rPr>
              <w:t>Other relevant specialist knowledge – please describe:</w:t>
            </w:r>
          </w:p>
          <w:p w14:paraId="5250C016" w14:textId="77777777" w:rsidR="00AC30B8" w:rsidRDefault="00AC30B8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  <w:p w14:paraId="7EE5E228" w14:textId="77777777" w:rsidR="00AC30B8" w:rsidRPr="00194AB4" w:rsidRDefault="00AC30B8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  <w:p w14:paraId="54221463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FD8C" w14:textId="77777777" w:rsidR="009349A7" w:rsidRPr="00194AB4" w:rsidRDefault="009349A7" w:rsidP="006C1484">
            <w:pPr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</w:p>
        </w:tc>
      </w:tr>
    </w:tbl>
    <w:p w14:paraId="001AD568" w14:textId="77777777" w:rsidR="009349A7" w:rsidRDefault="009349A7" w:rsidP="009349A7">
      <w:pPr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E5451" w14:paraId="765499D8" w14:textId="77777777" w:rsidTr="317129D2">
        <w:tc>
          <w:tcPr>
            <w:tcW w:w="9776" w:type="dxa"/>
          </w:tcPr>
          <w:p w14:paraId="51E4AFAE" w14:textId="058D2F5A" w:rsidR="005E5451" w:rsidRDefault="317129D2" w:rsidP="317129D2">
            <w:pPr>
              <w:rPr>
                <w:rFonts w:ascii="Calibri" w:hAnsi="Calibri" w:cs="Arial"/>
                <w:sz w:val="24"/>
                <w:szCs w:val="24"/>
              </w:rPr>
            </w:pPr>
            <w:r w:rsidRPr="317129D2">
              <w:rPr>
                <w:rFonts w:ascii="Calibri" w:hAnsi="Calibri" w:cs="Arial"/>
                <w:sz w:val="24"/>
                <w:szCs w:val="24"/>
              </w:rPr>
              <w:t>Evidence and Examples for high scoring skills in the responses above</w:t>
            </w:r>
          </w:p>
          <w:p w14:paraId="0C845626" w14:textId="5FAC1A96" w:rsidR="005E5451" w:rsidRDefault="005E5451" w:rsidP="317129D2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2079A8FC" w14:textId="43D426CF" w:rsidR="005E5451" w:rsidRDefault="005E5451" w:rsidP="317129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E4C61CA" w14:textId="26D458CB" w:rsidR="56596057" w:rsidRDefault="56596057"/>
    <w:p w14:paraId="7489FA50" w14:textId="77777777" w:rsidR="009349A7" w:rsidRDefault="009349A7" w:rsidP="009349A7">
      <w:pPr>
        <w:rPr>
          <w:rFonts w:ascii="Calibri" w:hAnsi="Calibri" w:cs="Arial"/>
          <w:sz w:val="24"/>
          <w:szCs w:val="24"/>
        </w:rPr>
      </w:pPr>
    </w:p>
    <w:p w14:paraId="6C54C1A0" w14:textId="77777777" w:rsidR="005E6E82" w:rsidRDefault="005E6E82" w:rsidP="009349A7">
      <w:pPr>
        <w:rPr>
          <w:rFonts w:ascii="Calibri" w:hAnsi="Calibri" w:cs="Arial"/>
          <w:sz w:val="24"/>
          <w:szCs w:val="24"/>
        </w:rPr>
      </w:pPr>
    </w:p>
    <w:sectPr w:rsidR="005E6E8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D96B3" w14:textId="77777777" w:rsidR="00D72CFD" w:rsidRDefault="00D72CFD" w:rsidP="002E71F4">
      <w:r>
        <w:separator/>
      </w:r>
    </w:p>
  </w:endnote>
  <w:endnote w:type="continuationSeparator" w:id="0">
    <w:p w14:paraId="56B25E6B" w14:textId="77777777" w:rsidR="00D72CFD" w:rsidRDefault="00D72CFD" w:rsidP="002E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0C488" w14:textId="5F3FE91C" w:rsidR="006C1484" w:rsidRPr="002E71F4" w:rsidRDefault="00966985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NMR Advisors </w:t>
    </w:r>
    <w:r w:rsidR="006C1484" w:rsidRPr="002E71F4">
      <w:rPr>
        <w:rFonts w:asciiTheme="minorHAnsi" w:hAnsiTheme="minorHAnsi"/>
      </w:rPr>
      <w:t xml:space="preserve">Skills Audit </w:t>
    </w:r>
    <w:r>
      <w:rPr>
        <w:rFonts w:asciiTheme="minorHAnsi" w:hAnsiTheme="minorHAnsi"/>
      </w:rPr>
      <w:t>February 2019</w:t>
    </w:r>
  </w:p>
  <w:p w14:paraId="1C209E87" w14:textId="77777777" w:rsidR="006C1484" w:rsidRPr="002E71F4" w:rsidRDefault="006C1484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9F7E4" w14:textId="77777777" w:rsidR="00D72CFD" w:rsidRDefault="00D72CFD" w:rsidP="002E71F4">
      <w:r>
        <w:separator/>
      </w:r>
    </w:p>
  </w:footnote>
  <w:footnote w:type="continuationSeparator" w:id="0">
    <w:p w14:paraId="40334EFD" w14:textId="77777777" w:rsidR="00D72CFD" w:rsidRDefault="00D72CFD" w:rsidP="002E7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93478726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21C12E4" w14:textId="3A91BEE3" w:rsidR="006C1484" w:rsidRDefault="0096698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Calibri" w:hAnsi="Calibri" w:cs="Arial"/>
            <w:b/>
            <w:noProof/>
            <w:sz w:val="24"/>
            <w:szCs w:val="24"/>
            <w:lang w:eastAsia="en-GB"/>
          </w:rPr>
          <w:drawing>
            <wp:inline distT="0" distB="0" distL="0" distR="0" wp14:anchorId="043751AF" wp14:editId="59454A77">
              <wp:extent cx="2451100" cy="106680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110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6C1484">
          <w:rPr>
            <w:color w:val="7F7F7F" w:themeColor="background1" w:themeShade="7F"/>
            <w:spacing w:val="60"/>
          </w:rPr>
          <w:t>Page</w:t>
        </w:r>
        <w:r w:rsidR="006C1484">
          <w:t xml:space="preserve"> | </w:t>
        </w:r>
        <w:r w:rsidR="006C1484">
          <w:fldChar w:fldCharType="begin"/>
        </w:r>
        <w:r w:rsidR="006C1484">
          <w:instrText xml:space="preserve"> PAGE   \* MERGEFORMAT </w:instrText>
        </w:r>
        <w:r w:rsidR="006C1484">
          <w:fldChar w:fldCharType="separate"/>
        </w:r>
        <w:r w:rsidR="00251DC8" w:rsidRPr="00251DC8">
          <w:rPr>
            <w:b/>
            <w:bCs/>
            <w:noProof/>
          </w:rPr>
          <w:t>3</w:t>
        </w:r>
        <w:r w:rsidR="006C1484">
          <w:rPr>
            <w:b/>
            <w:bCs/>
            <w:noProof/>
          </w:rPr>
          <w:fldChar w:fldCharType="end"/>
        </w:r>
      </w:p>
    </w:sdtContent>
  </w:sdt>
  <w:p w14:paraId="1A0D836E" w14:textId="77777777" w:rsidR="006C1484" w:rsidRDefault="006C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CB4"/>
    <w:multiLevelType w:val="hybridMultilevel"/>
    <w:tmpl w:val="82C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DD2"/>
    <w:multiLevelType w:val="hybridMultilevel"/>
    <w:tmpl w:val="507E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6137"/>
    <w:multiLevelType w:val="hybridMultilevel"/>
    <w:tmpl w:val="975C4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243E"/>
    <w:multiLevelType w:val="hybridMultilevel"/>
    <w:tmpl w:val="1AA4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115F"/>
    <w:multiLevelType w:val="hybridMultilevel"/>
    <w:tmpl w:val="5F361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605DD"/>
    <w:multiLevelType w:val="hybridMultilevel"/>
    <w:tmpl w:val="542EF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A7"/>
    <w:rsid w:val="0008754E"/>
    <w:rsid w:val="000A72A8"/>
    <w:rsid w:val="000C1B81"/>
    <w:rsid w:val="001113C6"/>
    <w:rsid w:val="00237439"/>
    <w:rsid w:val="00251DC8"/>
    <w:rsid w:val="002C059D"/>
    <w:rsid w:val="002C33F5"/>
    <w:rsid w:val="002E71F4"/>
    <w:rsid w:val="003031F0"/>
    <w:rsid w:val="0030542D"/>
    <w:rsid w:val="00306D70"/>
    <w:rsid w:val="003222A6"/>
    <w:rsid w:val="00336A95"/>
    <w:rsid w:val="00370A70"/>
    <w:rsid w:val="003C63D0"/>
    <w:rsid w:val="004452B2"/>
    <w:rsid w:val="004A335A"/>
    <w:rsid w:val="004C5403"/>
    <w:rsid w:val="00541F92"/>
    <w:rsid w:val="00542B59"/>
    <w:rsid w:val="00543655"/>
    <w:rsid w:val="005C4472"/>
    <w:rsid w:val="005E5451"/>
    <w:rsid w:val="005E6E82"/>
    <w:rsid w:val="005F2474"/>
    <w:rsid w:val="0068205B"/>
    <w:rsid w:val="006C1484"/>
    <w:rsid w:val="007624C9"/>
    <w:rsid w:val="00795094"/>
    <w:rsid w:val="00826599"/>
    <w:rsid w:val="00841546"/>
    <w:rsid w:val="008D00D4"/>
    <w:rsid w:val="0092129E"/>
    <w:rsid w:val="009349A7"/>
    <w:rsid w:val="00944BFF"/>
    <w:rsid w:val="00966985"/>
    <w:rsid w:val="009A6E7E"/>
    <w:rsid w:val="009F06F6"/>
    <w:rsid w:val="00A7087B"/>
    <w:rsid w:val="00AB713C"/>
    <w:rsid w:val="00AC30B8"/>
    <w:rsid w:val="00C33CD3"/>
    <w:rsid w:val="00C91511"/>
    <w:rsid w:val="00CB26A9"/>
    <w:rsid w:val="00D306F6"/>
    <w:rsid w:val="00D72CFD"/>
    <w:rsid w:val="00D73590"/>
    <w:rsid w:val="00DB4E5D"/>
    <w:rsid w:val="00DC4424"/>
    <w:rsid w:val="00DE03BD"/>
    <w:rsid w:val="00E00AD5"/>
    <w:rsid w:val="00E042D1"/>
    <w:rsid w:val="00E73180"/>
    <w:rsid w:val="00EB5041"/>
    <w:rsid w:val="00ED31C2"/>
    <w:rsid w:val="00F337F2"/>
    <w:rsid w:val="00F760E1"/>
    <w:rsid w:val="00FC2A9D"/>
    <w:rsid w:val="317129D2"/>
    <w:rsid w:val="44D8B20D"/>
    <w:rsid w:val="56596057"/>
    <w:rsid w:val="5C4DE219"/>
    <w:rsid w:val="6E26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681E"/>
  <w15:chartTrackingRefBased/>
  <w15:docId w15:val="{D6287ED3-3891-448E-B879-3C7D7917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8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E7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A6E7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6E7E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2E7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1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1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4E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33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E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1B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B8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B8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B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B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4C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wojna@nmrhub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353F1C699F7478A689726D73D764C" ma:contentTypeVersion="8" ma:contentTypeDescription="Create a new document." ma:contentTypeScope="" ma:versionID="6d44e92f32b108e3fd7883adc391d2fa">
  <xsd:schema xmlns:xsd="http://www.w3.org/2001/XMLSchema" xmlns:xs="http://www.w3.org/2001/XMLSchema" xmlns:p="http://schemas.microsoft.com/office/2006/metadata/properties" xmlns:ns2="afc78f04-beac-40ca-adf7-70adde232b16" xmlns:ns3="5be53ed7-8824-4142-8112-3bdd63f1698f" targetNamespace="http://schemas.microsoft.com/office/2006/metadata/properties" ma:root="true" ma:fieldsID="ae5fce8173d5d6ab6fa91be2ac53cdcc" ns2:_="" ns3:_="">
    <xsd:import namespace="afc78f04-beac-40ca-adf7-70adde232b16"/>
    <xsd:import namespace="5be53ed7-8824-4142-8112-3bdd63f16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78f04-beac-40ca-adf7-70adde232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53ed7-8824-4142-8112-3bdd63f16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c78f04-beac-40ca-adf7-70adde232b1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700405-4BBB-46FA-B3CE-84247DF5F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78f04-beac-40ca-adf7-70adde232b16"/>
    <ds:schemaRef ds:uri="5be53ed7-8824-4142-8112-3bdd63f16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F1976-6B2C-483B-834D-E0B7FFA17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7801F-79BB-4915-8EF7-DB6A053DFB2C}">
  <ds:schemaRefs>
    <ds:schemaRef ds:uri="http://schemas.microsoft.com/office/2006/metadata/properties"/>
    <ds:schemaRef ds:uri="http://schemas.microsoft.com/office/infopath/2007/PartnerControls"/>
    <ds:schemaRef ds:uri="afc78f04-beac-40ca-adf7-70adde232b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Crispin's School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Rhodes</dc:creator>
  <cp:keywords/>
  <dc:description/>
  <cp:lastModifiedBy>Mrs A Brown</cp:lastModifiedBy>
  <cp:revision>2</cp:revision>
  <cp:lastPrinted>2019-02-20T11:48:00Z</cp:lastPrinted>
  <dcterms:created xsi:type="dcterms:W3CDTF">2019-09-23T16:26:00Z</dcterms:created>
  <dcterms:modified xsi:type="dcterms:W3CDTF">2019-09-23T16:26:00Z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0x010100217353F1C699F7478A689726D73D764C</vt:lpwstr>
  </property>
  <property fmtid="{D5CDD505-2E9C-101B-9397-08002B2CF9AE}" pid="3" name="Order">
    <vt:r8>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1024">
    <vt:lpwstr>158</vt:lpwstr>
  </property>
</Properties>
</file>